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1"/>
          <w:i w:val="1"/>
          <w:smallCaps w:val="0"/>
          <w:strike w:val="0"/>
          <w:color w:val="000000"/>
          <w:sz w:val="23"/>
          <w:szCs w:val="23"/>
          <w:u w:val="none"/>
          <w:shd w:fill="auto" w:val="clear"/>
          <w:vertAlign w:val="baseline"/>
          <w:rtl w:val="0"/>
        </w:rPr>
        <w:t xml:space="preserve">«Laureatus in Urbe».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1"/>
          <w:i w:val="0"/>
          <w:smallCaps w:val="0"/>
          <w:strike w:val="0"/>
          <w:color w:val="000000"/>
          <w:sz w:val="23"/>
          <w:szCs w:val="23"/>
          <w:u w:val="none"/>
          <w:shd w:fill="auto" w:val="clear"/>
          <w:vertAlign w:val="baseline"/>
          <w:rtl w:val="0"/>
        </w:rPr>
        <w:t xml:space="preserve">Seminario annuale di Studi petrarcheschi VII edizione.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1"/>
          <w:i w:val="0"/>
          <w:smallCaps w:val="0"/>
          <w:strike w:val="0"/>
          <w:color w:val="000000"/>
          <w:sz w:val="23"/>
          <w:szCs w:val="23"/>
          <w:u w:val="none"/>
          <w:shd w:fill="auto" w:val="clear"/>
          <w:vertAlign w:val="baseline"/>
          <w:rtl w:val="0"/>
        </w:rPr>
        <w:t xml:space="preserve">27-28 giugno 2023</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Presentazione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6"/>
          <w:szCs w:val="6"/>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Si rinnova la tradizione del colloquio annuale dedicato a Francesco Petrarca e organizzato dal Dipartimento di Studi Umanistici dell’Università degli Studi Roma Tre, in collaborazione con il Notre Dame Rome Global Gateway. L’obiettivo di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Laureatus in Urbe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è creare un dialogo ricorrente dedicato agli studi petrarcheschi e riservato ai giovani studiosi della disciplina: laureati, addottorandi, dottori di ricerca (da non più di cinque anni) avranno la possibilità di confrontare quanto maturato nelle loro ricerche con alcuni noti esperti del settore, chiamati a loro volta a dirigere e animare la discussione sulle varie relazioni.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Laureatus in Urbe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è ormai diventato un appuntamento consolidato, e rappresenta un luogo di incontro e un laboratorio di ricerca che coinvolge da diversi anni giovani ricercatori italiani e internazionali offrendo una platea di riconosciuta risonanza alle loro ricerche. Alle scorse edizioni hanno partecipato più di centocinquanta giovani studiosi da paesi di tutto il mondo; oltre alle loro comunicazioni, si sono tenute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lectures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introduttive e finali con la partecipazione di esperti del calibro di Francisco Rico, Ted Cachey, Philippe Guérin, Marco Ariani, Bernhard Huss, Franco Suitner, Enrico Fenzi, Carlo Pulsoni e Natascia Tonelli. Le sessioni, i seminari e le presentazioni sono state animate da specialisti di diversi atenei, italiani e internazionali (come Barcellona, Napoli, Perugia, Parigi, Siena, Torino, Tours e altre). Il settimo incontro della manifestazione si terrà sempre a Roma dal 27 al 28 giugno 2023.  Sono compresi diversi campi di indagine, ispirati alle seguenti linee di ricerca (non sono da intendersi come linee esclusive):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Garamond" w:cs="Garamond" w:eastAsia="Garamond" w:hAnsi="Garamond"/>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Garamond" w:cs="Garamond" w:eastAsia="Garamond" w:hAnsi="Garamond"/>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Garamond" w:cs="Garamond" w:eastAsia="Garamond" w:hAnsi="Garamond"/>
          <w:b w:val="0"/>
          <w:i w:val="0"/>
          <w:smallCaps w:val="0"/>
          <w:strike w:val="0"/>
          <w:color w:val="000000"/>
          <w:sz w:val="24"/>
          <w:szCs w:val="24"/>
          <w:u w:val="none"/>
          <w:shd w:fill="auto" w:val="clear"/>
          <w:vertAlign w:val="baseline"/>
        </w:rPr>
        <w:sectPr>
          <w:headerReference r:id="rId6" w:type="default"/>
          <w:headerReference r:id="rId7" w:type="first"/>
          <w:footerReference r:id="rId8" w:type="default"/>
          <w:footerReference r:id="rId9" w:type="first"/>
          <w:pgSz w:h="16838" w:w="11906"/>
          <w:pgMar w:bottom="907" w:top="907" w:left="907" w:right="907" w:header="709" w:footer="709"/>
          <w:pgNumType w:start="1"/>
          <w:cols w:equalWidth="0"/>
          <w:titlePg w:val="1"/>
        </w:sect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Opere latine e/o volgari: temi, contesti e stile.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Il rapporto con i classici e con la tradizione volgare.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Fortuna di Petrarca: dal petrarchismo al Duemila.</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La lingua di Petrarca: latino e volgare.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Petrarca e la storia.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Filologia petrarchesca.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Petrarca e la filosofia.</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Petrarca, Dante e Boccaccio.</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Petrarca, le arti e gli altri media.</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Biografia di Petrarca e contesto storico.</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0"/>
          <w:szCs w:val="10"/>
          <w:u w:val="none"/>
          <w:shd w:fill="auto" w:val="clear"/>
          <w:vertAlign w:val="baseline"/>
        </w:rPr>
        <w:sectPr>
          <w:type w:val="continuous"/>
          <w:pgSz w:h="16838" w:w="11906"/>
          <w:pgMar w:bottom="907" w:top="907" w:left="907" w:right="907" w:header="709" w:footer="709"/>
          <w:cols w:equalWidth="0" w:num="2">
            <w:col w:space="708" w:w="4691.999999999999"/>
            <w:col w:space="0" w:w="4691.999999999999"/>
          </w:cols>
          <w:titlePg w:val="1"/>
        </w:sect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Nel corso del seminario 2023 si terranno le lezioni di Johannes Bartuschat e di Loredana Chines.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Invio proposte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Le proposte di contributo corredate da un titolo, da un abstract (max 800 battute) e da un breve profilo biobibliografico (nella misura di circa 500 battute) andranno inviate entro il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30 aprile 2023</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 in un file unico in formato *doc e nominato “Cfp LiU Cognome” all’indirizzo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paolo.rigo@uniroma3.it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(con oggetto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Cfp Laureatus in Urbe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All’interno del file andrà anche indicato un indirizzo e-mail utile ai fini del contatto. La comunicazione di avvenuta selezione avverrà entro 15 giorni dalla chiusura della call.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partecipazione al Seminario è gratuita. L’organizzazione non offrirà rimborsi spese o alloggi, ma provvederà ad alcuni momenti conviviali. È prevista, a seguito di una valutazione di ogni contributo effettuata dai membri del Comitato scientifico, la pubblicazione degli Atti. Nel 2019 è uscito il primo volume; il secondo nel 2021; il terzo nel 2022; il quarto volume, comprendente gli atti del quarto e del quinto seminario e pubblicato in collaborazione con l’Università di Olomouc, è in uscita nel 2023; il sesto è in preparazione.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Le domande di partecipazione saranno sottoposte alla selezione del Comitato scientifico, costituito da: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Marco Ariani (Roma Tre), Rossend Arques Corominas (UAB), Johannes Bartuschat (Zurigo), Theodore J. Cachey Jr. (Notre Dame), Marco Cursi (Napoli), Sabrina Ferrara (Tours), Enrico Fenzi (Genova), Maurizio Fiorilla (Roma Tre), Philippe Guérin (Paris 3), Bernhard Huss (Freie-Berlino), Luca Marcozzi (Roma Tre, coordinatore del Comitato scientifico), Daniele Piccini (Stranieri di Perugia), Carlo Pulsoni (Perugia), Francisco Rico (UAB), Paolo Rigo (Roma Tre, Responsabile organizzativo), Luca Carlo Rossi (Bergamo), Jiří Špička (Olomouc) Sabrina Stroppa (Stranieri di Perugia), Franco Suitner (Roma Tre), Natascia Tonelli (Siena), Eduard Vilella Morato (UAB).</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single"/>
          <w:shd w:fill="auto" w:val="clear"/>
          <w:vertAlign w:val="baseline"/>
          <w:rtl w:val="0"/>
        </w:rPr>
        <w:t xml:space="preserve">Segreteria</w:t>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Chiara Abaterusso, Silvia Argurio, Giulia Maria Cipriani, Riccardo Deiana, Rita di Pasquale, Giulia Lanciotti, Valentina Manca, Carlotta Mazzoncini, Valentina Rovere, Priscilla Santoro, Chiara Sbordoni, Nicole Volta.</w:t>
      </w:r>
    </w:p>
    <w:sectPr>
      <w:type w:val="continuous"/>
      <w:pgSz w:h="16838" w:w="11906"/>
      <w:pgMar w:bottom="907" w:top="907" w:left="907" w:right="907" w:header="709" w:footer="709"/>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308.0" w:type="dxa"/>
      <w:jc w:val="left"/>
      <w:tblInd w:w="0.0" w:type="dxa"/>
      <w:tblLayout w:type="fixed"/>
      <w:tblLook w:val="0000"/>
    </w:tblPr>
    <w:tblGrid>
      <w:gridCol w:w="1812"/>
      <w:gridCol w:w="6684"/>
      <w:gridCol w:w="1812"/>
      <w:tblGridChange w:id="0">
        <w:tblGrid>
          <w:gridCol w:w="1812"/>
          <w:gridCol w:w="6684"/>
          <w:gridCol w:w="1812"/>
        </w:tblGrid>
      </w:tblGridChange>
    </w:tblGrid>
    <w:tr>
      <w:tc>
        <w:tcPr>
          <w:tcBorders>
            <w:bottom w:color="ed7d31" w:space="0" w:sz="12" w:val="single"/>
          </w:tcBorders>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UNIVERSITÀ DEGLI STUDI ROMA TRE - DIPARTIMENTO DI STUDI UMANISTICI</w:t>
          </w:r>
          <w:r w:rsidDel="00000000" w:rsidR="00000000" w:rsidRPr="00000000">
            <w:rPr>
              <w:rtl w:val="0"/>
            </w:rPr>
          </w:r>
        </w:p>
      </w:tc>
      <w:tc>
        <w:tcPr>
          <w:tcBorders>
            <w:left w:color="000000" w:space="0" w:sz="0" w:val="nil"/>
            <w:bottom w:color="767171" w:space="0" w:sz="12" w:val="single"/>
          </w:tcBorders>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Web: http://dipartimenti.uniroma3.it/studiumanistici/   E-mail: amm.studiumanistici@uniroma3.it</w:t>
      <w:br w:type="textWrapping"/>
      <w:t xml:space="preserve">Via Ostiense, 234/236 - 00146 Roma | P.zza della Repubblica, 10 - 00185 Roma </w:t>
      <w:br w:type="textWrapping"/>
      <w:t xml:space="preserve">Tel: +39 06 57338999 - Fax: +39 06 573382189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3343910" cy="475615"/>
          <wp:effectExtent b="0" l="0" r="0" t="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343910" cy="47561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44.0" w:type="dxa"/>
      <w:jc w:val="center"/>
      <w:tblLayout w:type="fixed"/>
      <w:tblLook w:val="0000"/>
    </w:tblPr>
    <w:tblGrid>
      <w:gridCol w:w="1784"/>
      <w:gridCol w:w="4645"/>
      <w:gridCol w:w="3215"/>
      <w:tblGridChange w:id="0">
        <w:tblGrid>
          <w:gridCol w:w="1784"/>
          <w:gridCol w:w="4645"/>
          <w:gridCol w:w="3215"/>
        </w:tblGrid>
      </w:tblGridChange>
    </w:tblGrid>
    <w:tr>
      <w:trPr>
        <w:trHeight w:val="825" w:hRule="atLeast"/>
      </w:trPr>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894715" cy="4572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94715" cy="4572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344420" cy="581025"/>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344420" cy="581025"/>
                        </a:xfrm>
                        <a:prstGeom prst="rect"/>
                        <a:ln/>
                      </pic:spPr>
                    </pic:pic>
                  </a:graphicData>
                </a:graphic>
              </wp:anchor>
            </w:drawing>
          </w:r>
        </w:p>
      </w:tc>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199515" cy="465455"/>
                <wp:effectExtent b="0" l="0" r="0" t="0"/>
                <wp:docPr id="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199515" cy="46545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